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494D" w:rsidRDefault="00B934BA" w:rsidP="00F05303">
      <w:pPr>
        <w:jc w:val="center"/>
        <w:rPr>
          <w:sz w:val="32"/>
          <w:szCs w:val="32"/>
        </w:rPr>
      </w:pPr>
      <w:r w:rsidRPr="00F05303">
        <w:rPr>
          <w:sz w:val="32"/>
          <w:szCs w:val="32"/>
        </w:rPr>
        <w:t>Kyslosť a zásaditosť vodných roztokov</w:t>
      </w:r>
    </w:p>
    <w:p w:rsidR="00F05303" w:rsidRPr="00F05303" w:rsidRDefault="00F05303" w:rsidP="00F05303">
      <w:pPr>
        <w:jc w:val="center"/>
        <w:rPr>
          <w:sz w:val="32"/>
          <w:szCs w:val="32"/>
        </w:rPr>
      </w:pPr>
    </w:p>
    <w:p w:rsidR="00B934BA" w:rsidRDefault="00B934BA">
      <w:r w:rsidRPr="00F05303">
        <w:rPr>
          <w:b/>
        </w:rPr>
        <w:t>Kyslosť</w:t>
      </w:r>
      <w:r>
        <w:t xml:space="preserve"> je spôsobená prítomnosťou </w:t>
      </w:r>
      <w:proofErr w:type="spellStart"/>
      <w:r>
        <w:t>oxóniového</w:t>
      </w:r>
      <w:proofErr w:type="spellEnd"/>
      <w:r>
        <w:t xml:space="preserve"> katiónu H</w:t>
      </w:r>
      <w:r>
        <w:rPr>
          <w:vertAlign w:val="subscript"/>
        </w:rPr>
        <w:t>3</w:t>
      </w:r>
      <w:r>
        <w:t>O</w:t>
      </w:r>
      <w:r>
        <w:rPr>
          <w:vertAlign w:val="superscript"/>
        </w:rPr>
        <w:t>+</w:t>
      </w:r>
      <w:r>
        <w:t xml:space="preserve"> v roztoku.</w:t>
      </w:r>
      <w:r w:rsidR="00FF67B6">
        <w:t xml:space="preserve"> Uvoľňujú ho kyseliny.</w:t>
      </w:r>
    </w:p>
    <w:p w:rsidR="00B934BA" w:rsidRDefault="00B934BA" w:rsidP="00B934BA">
      <w:pPr>
        <w:ind w:left="708" w:firstLine="708"/>
      </w:pPr>
      <w:proofErr w:type="spellStart"/>
      <w:r>
        <w:t>HCl</w:t>
      </w:r>
      <w:proofErr w:type="spellEnd"/>
      <w:r>
        <w:t xml:space="preserve"> → </w:t>
      </w:r>
      <w:r w:rsidRPr="00B934BA">
        <w:rPr>
          <w:color w:val="C00000"/>
        </w:rPr>
        <w:t>H</w:t>
      </w:r>
      <w:r w:rsidRPr="00B934BA">
        <w:rPr>
          <w:color w:val="C00000"/>
          <w:vertAlign w:val="subscript"/>
        </w:rPr>
        <w:t>3</w:t>
      </w:r>
      <w:r w:rsidRPr="00B934BA">
        <w:rPr>
          <w:color w:val="C00000"/>
        </w:rPr>
        <w:t>O</w:t>
      </w:r>
      <w:r w:rsidRPr="00B934BA">
        <w:rPr>
          <w:color w:val="C00000"/>
          <w:vertAlign w:val="superscript"/>
        </w:rPr>
        <w:t>+</w:t>
      </w:r>
      <w:r>
        <w:t xml:space="preserve"> + Cl</w:t>
      </w:r>
      <w:r>
        <w:rPr>
          <w:vertAlign w:val="superscript"/>
        </w:rPr>
        <w:t>-</w:t>
      </w:r>
    </w:p>
    <w:p w:rsidR="00B934BA" w:rsidRPr="00F05303" w:rsidRDefault="00B934BA" w:rsidP="00B934BA">
      <w:r w:rsidRPr="00F05303">
        <w:rPr>
          <w:b/>
        </w:rPr>
        <w:t>Zásaditosť</w:t>
      </w:r>
      <w:r>
        <w:t xml:space="preserve"> je spôsobená prítomnosťou hydroxidového aniónu OH</w:t>
      </w:r>
      <w:r>
        <w:rPr>
          <w:vertAlign w:val="superscript"/>
        </w:rPr>
        <w:t>-</w:t>
      </w:r>
      <w:r w:rsidR="00F05303">
        <w:t xml:space="preserve"> v roztoku.</w:t>
      </w:r>
      <w:r w:rsidR="00FF67B6">
        <w:t xml:space="preserve"> Uvoľňujú ho hydroxidy.</w:t>
      </w:r>
    </w:p>
    <w:p w:rsidR="00B934BA" w:rsidRDefault="00B934BA" w:rsidP="00B934BA">
      <w:pPr>
        <w:rPr>
          <w:vertAlign w:val="superscript"/>
        </w:rPr>
      </w:pPr>
      <w:r>
        <w:tab/>
      </w:r>
      <w:r>
        <w:tab/>
      </w:r>
      <w:proofErr w:type="spellStart"/>
      <w:r>
        <w:t>NaOH</w:t>
      </w:r>
      <w:proofErr w:type="spellEnd"/>
      <w:r>
        <w:t xml:space="preserve"> → Na</w:t>
      </w:r>
      <w:r w:rsidR="00774D7D">
        <w:rPr>
          <w:vertAlign w:val="superscript"/>
        </w:rPr>
        <w:t>+</w:t>
      </w:r>
      <w:r>
        <w:t xml:space="preserve"> + </w:t>
      </w:r>
      <w:r w:rsidRPr="00F05303">
        <w:rPr>
          <w:color w:val="C00000"/>
        </w:rPr>
        <w:t>OH</w:t>
      </w:r>
      <w:r w:rsidRPr="00F05303">
        <w:rPr>
          <w:color w:val="C00000"/>
          <w:vertAlign w:val="superscript"/>
        </w:rPr>
        <w:t>-</w:t>
      </w:r>
      <w:r>
        <w:rPr>
          <w:vertAlign w:val="superscript"/>
        </w:rPr>
        <w:t xml:space="preserve"> </w:t>
      </w:r>
    </w:p>
    <w:p w:rsidR="00B934BA" w:rsidRPr="00B91F83" w:rsidRDefault="00F05303" w:rsidP="00B934BA">
      <w:r w:rsidRPr="00F05303">
        <w:rPr>
          <w:b/>
        </w:rPr>
        <w:t>Neutrálne</w:t>
      </w:r>
      <w:r>
        <w:t xml:space="preserve"> roztoky sú také, ktoré neobsahujú ani H</w:t>
      </w:r>
      <w:r>
        <w:rPr>
          <w:vertAlign w:val="subscript"/>
        </w:rPr>
        <w:t>3</w:t>
      </w:r>
      <w:r>
        <w:t>O</w:t>
      </w:r>
      <w:r>
        <w:rPr>
          <w:vertAlign w:val="superscript"/>
        </w:rPr>
        <w:t>+</w:t>
      </w:r>
      <w:r>
        <w:t xml:space="preserve"> ani OH</w:t>
      </w:r>
      <w:r>
        <w:rPr>
          <w:vertAlign w:val="superscript"/>
        </w:rPr>
        <w:t>-</w:t>
      </w:r>
      <w:r w:rsidR="00B91F83">
        <w:t>.</w:t>
      </w:r>
      <w:r w:rsidR="00FF67B6">
        <w:t xml:space="preserve"> </w:t>
      </w:r>
      <w:bookmarkStart w:id="0" w:name="_GoBack"/>
      <w:bookmarkEnd w:id="0"/>
    </w:p>
    <w:p w:rsidR="00F05303" w:rsidRDefault="00F05303" w:rsidP="00B934BA">
      <w:r>
        <w:t>Hodnotu kyslosti a zásaditosti určuje stupnica pH.</w:t>
      </w:r>
    </w:p>
    <w:p w:rsidR="00F05303" w:rsidRDefault="00FF67B6" w:rsidP="00F05303">
      <w:pPr>
        <w:pStyle w:val="Odsekzoznamu"/>
        <w:spacing w:line="360" w:lineRule="auto"/>
      </w:pPr>
      <w:r>
        <w:rPr>
          <w:noProof/>
          <w:lang w:eastAsia="sk-SK"/>
        </w:rPr>
        <w:pict>
          <v:roundrect id="_x0000_s1035" style="position:absolute;left:0;text-align:left;margin-left:146.65pt;margin-top:25.05pt;width:138pt;height:26.15pt;z-index:251669504" arcsize="10923f">
            <v:textbox>
              <w:txbxContent>
                <w:p w:rsidR="00F05303" w:rsidRDefault="00F05303" w:rsidP="00F05303">
                  <w:pPr>
                    <w:jc w:val="center"/>
                  </w:pPr>
                  <w:r>
                    <w:t>neutrálne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4" style="position:absolute;left:0;text-align:left;margin-left:232.9pt;margin-top:114.3pt;width:138pt;height:26.15pt;z-index:251668480" arcsize="10923f">
            <v:textbox>
              <w:txbxContent>
                <w:p w:rsidR="00F05303" w:rsidRDefault="00F05303" w:rsidP="00F05303">
                  <w:pPr>
                    <w:jc w:val="center"/>
                  </w:pPr>
                  <w:r>
                    <w:t>zásadité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3" style="position:absolute;left:0;text-align:left;margin-left:61.9pt;margin-top:114.3pt;width:138pt;height:26.15pt;z-index:251667456" arcsize="10923f">
            <v:textbox>
              <w:txbxContent>
                <w:p w:rsidR="00F05303" w:rsidRDefault="00F05303" w:rsidP="00F05303">
                  <w:pPr>
                    <w:jc w:val="center"/>
                  </w:pPr>
                  <w:r>
                    <w:t>kyslé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391.9pt;margin-top:85.8pt;width:0;height:28.5pt;flip:y;z-index:251663360" o:connectortype="straight">
            <v:stroke endarrow="block"/>
          </v:shape>
        </w:pict>
      </w:r>
      <w:r>
        <w:rPr>
          <w:noProof/>
          <w:lang w:eastAsia="sk-SK"/>
        </w:rPr>
        <w:pict>
          <v:shape id="_x0000_s1028" type="#_x0000_t32" style="position:absolute;left:0;text-align:left;margin-left:43.15pt;margin-top:85.75pt;width:0;height:28.5pt;flip:y;z-index:251662336" o:connectortype="straight">
            <v:stroke endarrow="block"/>
          </v:shape>
        </w:pict>
      </w:r>
      <w:r>
        <w:rPr>
          <w:noProof/>
          <w:lang w:eastAsia="sk-SK"/>
        </w:rPr>
        <w:pict>
          <v:shape id="_x0000_s1026" type="#_x0000_t32" style="position:absolute;left:0;text-align:left;margin-left:30.4pt;margin-top:100.7pt;width:377.25pt;height:.05pt;z-index:251660288" o:connectortype="straight">
            <v:stroke startarrow="block" endarrow="block"/>
          </v:shape>
        </w:pict>
      </w:r>
      <w:r>
        <w:rPr>
          <w:noProof/>
          <w:lang w:eastAsia="sk-SK"/>
        </w:rPr>
        <w:pict>
          <v:shape id="_x0000_s1027" type="#_x0000_t32" style="position:absolute;left:0;text-align:left;margin-left:214.9pt;margin-top:85.7pt;width:0;height:28.5pt;flip:y;z-index:251661312" o:connectortype="straight">
            <v:stroke endarrow="block"/>
          </v:shape>
        </w:pict>
      </w:r>
    </w:p>
    <w:p w:rsidR="00F05303" w:rsidRDefault="00FF67B6" w:rsidP="00F05303">
      <w:pPr>
        <w:spacing w:line="360" w:lineRule="auto"/>
      </w:pPr>
      <w:r>
        <w:rPr>
          <w:noProof/>
          <w:lang w:eastAsia="sk-SK"/>
        </w:rPr>
        <w:pict>
          <v:roundrect id="_x0000_s1032" style="position:absolute;margin-left:379.15pt;margin-top:26pt;width:28.5pt;height:25.5pt;z-index:251666432" arcsize="10923f">
            <v:textbox>
              <w:txbxContent>
                <w:p w:rsidR="00F05303" w:rsidRDefault="00F05303">
                  <w:r>
                    <w:t>14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1" style="position:absolute;margin-left:203.65pt;margin-top:26pt;width:24.75pt;height:25.5pt;z-index:251665408" arcsize="10923f">
            <v:textbox>
              <w:txbxContent>
                <w:p w:rsidR="00F05303" w:rsidRDefault="00F05303">
                  <w:r>
                    <w:t>7</w:t>
                  </w:r>
                </w:p>
              </w:txbxContent>
            </v:textbox>
          </v:roundrect>
        </w:pict>
      </w:r>
      <w:r>
        <w:rPr>
          <w:noProof/>
          <w:lang w:eastAsia="sk-SK"/>
        </w:rPr>
        <w:pict>
          <v:roundrect id="_x0000_s1030" style="position:absolute;margin-left:30.4pt;margin-top:26pt;width:24.75pt;height:25.5pt;z-index:251664384" arcsize="10923f">
            <v:textbox>
              <w:txbxContent>
                <w:p w:rsidR="00F05303" w:rsidRDefault="00F05303">
                  <w:r>
                    <w:t>0</w:t>
                  </w:r>
                </w:p>
              </w:txbxContent>
            </v:textbox>
          </v:roundrect>
        </w:pict>
      </w:r>
    </w:p>
    <w:p w:rsidR="00F05303" w:rsidRDefault="00F05303" w:rsidP="00F05303">
      <w:pPr>
        <w:spacing w:line="360" w:lineRule="auto"/>
      </w:pPr>
    </w:p>
    <w:p w:rsidR="00F05303" w:rsidRDefault="00F05303" w:rsidP="00F05303">
      <w:pPr>
        <w:spacing w:line="360" w:lineRule="auto"/>
      </w:pPr>
    </w:p>
    <w:p w:rsidR="00F05303" w:rsidRDefault="00F05303" w:rsidP="00F05303">
      <w:pPr>
        <w:spacing w:line="360" w:lineRule="auto"/>
      </w:pPr>
    </w:p>
    <w:p w:rsidR="00F05303" w:rsidRDefault="00F05303" w:rsidP="00B934BA">
      <w:r w:rsidRPr="00F05303">
        <w:rPr>
          <w:b/>
        </w:rPr>
        <w:t>Indikátory</w:t>
      </w:r>
      <w:r>
        <w:t xml:space="preserve"> sú látky, ktoré menia sfarbenie v závislosti od pH roztoku</w:t>
      </w:r>
      <w:r w:rsidR="00B91F83">
        <w:t>.</w:t>
      </w:r>
    </w:p>
    <w:tbl>
      <w:tblPr>
        <w:tblStyle w:val="Mriekatabuky"/>
        <w:tblW w:w="0" w:type="auto"/>
        <w:tblInd w:w="53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373"/>
        <w:gridCol w:w="2099"/>
        <w:gridCol w:w="2149"/>
        <w:gridCol w:w="2133"/>
      </w:tblGrid>
      <w:tr w:rsidR="00F05303" w:rsidTr="004275E0">
        <w:tc>
          <w:tcPr>
            <w:tcW w:w="2373" w:type="dxa"/>
            <w:tcBorders>
              <w:top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</w:p>
        </w:tc>
        <w:tc>
          <w:tcPr>
            <w:tcW w:w="2099" w:type="dxa"/>
            <w:tcBorders>
              <w:top w:val="thinThick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  <w:jc w:val="center"/>
            </w:pPr>
            <w:r>
              <w:t>kyslé</w:t>
            </w:r>
          </w:p>
        </w:tc>
        <w:tc>
          <w:tcPr>
            <w:tcW w:w="2149" w:type="dxa"/>
            <w:tcBorders>
              <w:top w:val="thinThickSmallGap" w:sz="24" w:space="0" w:color="auto"/>
              <w:bottom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  <w:jc w:val="center"/>
            </w:pPr>
            <w:r>
              <w:t>neutrálne</w:t>
            </w:r>
          </w:p>
        </w:tc>
        <w:tc>
          <w:tcPr>
            <w:tcW w:w="2133" w:type="dxa"/>
            <w:tcBorders>
              <w:top w:val="thinThickSmallGap" w:sz="24" w:space="0" w:color="auto"/>
              <w:bottom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  <w:jc w:val="center"/>
            </w:pPr>
            <w:r>
              <w:t>zásadité</w:t>
            </w:r>
          </w:p>
        </w:tc>
      </w:tr>
      <w:tr w:rsidR="00F05303" w:rsidTr="004275E0">
        <w:tc>
          <w:tcPr>
            <w:tcW w:w="2373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  <w:r>
              <w:t>Červená kapusta</w:t>
            </w:r>
          </w:p>
        </w:tc>
        <w:tc>
          <w:tcPr>
            <w:tcW w:w="2099" w:type="dxa"/>
            <w:tcBorders>
              <w:top w:val="thickThinSmallGap" w:sz="24" w:space="0" w:color="auto"/>
              <w:left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  <w:r>
              <w:t>červená</w:t>
            </w:r>
          </w:p>
        </w:tc>
        <w:tc>
          <w:tcPr>
            <w:tcW w:w="2149" w:type="dxa"/>
            <w:tcBorders>
              <w:top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  <w:r>
              <w:t>fialová</w:t>
            </w:r>
          </w:p>
        </w:tc>
        <w:tc>
          <w:tcPr>
            <w:tcW w:w="2133" w:type="dxa"/>
            <w:tcBorders>
              <w:top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  <w:r>
              <w:t>zelená( žltá)</w:t>
            </w:r>
          </w:p>
        </w:tc>
      </w:tr>
      <w:tr w:rsidR="00F05303" w:rsidTr="004275E0">
        <w:tc>
          <w:tcPr>
            <w:tcW w:w="2373" w:type="dxa"/>
            <w:tcBorders>
              <w:right w:val="thickThinSmallGap" w:sz="24" w:space="0" w:color="auto"/>
            </w:tcBorders>
          </w:tcPr>
          <w:p w:rsidR="00F05303" w:rsidRDefault="00F05303" w:rsidP="004275E0">
            <w:pPr>
              <w:pStyle w:val="Odsekzoznamu"/>
              <w:spacing w:line="360" w:lineRule="auto"/>
              <w:ind w:left="0"/>
            </w:pPr>
            <w:r>
              <w:t>Lakmus</w:t>
            </w:r>
          </w:p>
        </w:tc>
        <w:tc>
          <w:tcPr>
            <w:tcW w:w="2099" w:type="dxa"/>
            <w:tcBorders>
              <w:left w:val="thickThinSmallGap" w:sz="24" w:space="0" w:color="auto"/>
            </w:tcBorders>
          </w:tcPr>
          <w:p w:rsidR="00F05303" w:rsidRDefault="0087239B" w:rsidP="0087239B">
            <w:pPr>
              <w:pStyle w:val="Odsekzoznamu"/>
              <w:spacing w:line="360" w:lineRule="auto"/>
              <w:ind w:left="0"/>
            </w:pPr>
            <w:r>
              <w:t>červený</w:t>
            </w:r>
          </w:p>
        </w:tc>
        <w:tc>
          <w:tcPr>
            <w:tcW w:w="2149" w:type="dxa"/>
          </w:tcPr>
          <w:p w:rsidR="00F05303" w:rsidRDefault="0087239B" w:rsidP="0087239B">
            <w:pPr>
              <w:pStyle w:val="Odsekzoznamu"/>
              <w:spacing w:line="360" w:lineRule="auto"/>
              <w:ind w:left="0"/>
            </w:pPr>
            <w:r>
              <w:t>fialový</w:t>
            </w:r>
          </w:p>
        </w:tc>
        <w:tc>
          <w:tcPr>
            <w:tcW w:w="2133" w:type="dxa"/>
          </w:tcPr>
          <w:p w:rsidR="00F05303" w:rsidRDefault="0087239B" w:rsidP="0087239B">
            <w:pPr>
              <w:pStyle w:val="Odsekzoznamu"/>
              <w:spacing w:line="360" w:lineRule="auto"/>
              <w:ind w:left="0"/>
            </w:pPr>
            <w:r>
              <w:t>modrý</w:t>
            </w:r>
          </w:p>
        </w:tc>
      </w:tr>
      <w:tr w:rsidR="00F05303" w:rsidTr="004275E0">
        <w:tc>
          <w:tcPr>
            <w:tcW w:w="2373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F05303" w:rsidRDefault="0087239B" w:rsidP="004275E0">
            <w:pPr>
              <w:pStyle w:val="Odsekzoznamu"/>
              <w:spacing w:line="360" w:lineRule="auto"/>
              <w:ind w:left="0"/>
            </w:pPr>
            <w:r>
              <w:t>fenolftaleín</w:t>
            </w:r>
          </w:p>
        </w:tc>
        <w:tc>
          <w:tcPr>
            <w:tcW w:w="2099" w:type="dxa"/>
            <w:tcBorders>
              <w:left w:val="thickThinSmallGap" w:sz="24" w:space="0" w:color="auto"/>
            </w:tcBorders>
          </w:tcPr>
          <w:p w:rsidR="00F05303" w:rsidRDefault="0087239B" w:rsidP="0087239B">
            <w:pPr>
              <w:pStyle w:val="Odsekzoznamu"/>
              <w:spacing w:line="360" w:lineRule="auto"/>
              <w:ind w:left="0"/>
            </w:pPr>
            <w:r>
              <w:t>bezfarebný</w:t>
            </w:r>
          </w:p>
        </w:tc>
        <w:tc>
          <w:tcPr>
            <w:tcW w:w="2149" w:type="dxa"/>
          </w:tcPr>
          <w:p w:rsidR="00F05303" w:rsidRDefault="0087239B" w:rsidP="004275E0">
            <w:pPr>
              <w:pStyle w:val="Odsekzoznamu"/>
              <w:spacing w:line="360" w:lineRule="auto"/>
              <w:ind w:left="0"/>
            </w:pPr>
            <w:r>
              <w:t>bezfarebný</w:t>
            </w:r>
          </w:p>
        </w:tc>
        <w:tc>
          <w:tcPr>
            <w:tcW w:w="2133" w:type="dxa"/>
          </w:tcPr>
          <w:p w:rsidR="00F05303" w:rsidRDefault="0087239B" w:rsidP="004275E0">
            <w:pPr>
              <w:pStyle w:val="Odsekzoznamu"/>
              <w:spacing w:line="360" w:lineRule="auto"/>
              <w:ind w:left="0"/>
            </w:pPr>
            <w:r>
              <w:t>ružovo-fialový</w:t>
            </w:r>
          </w:p>
        </w:tc>
      </w:tr>
    </w:tbl>
    <w:p w:rsidR="00F05303" w:rsidRPr="00F05303" w:rsidRDefault="00F05303" w:rsidP="00B934BA"/>
    <w:sectPr w:rsidR="00F05303" w:rsidRPr="00F05303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C37A71"/>
    <w:multiLevelType w:val="hybridMultilevel"/>
    <w:tmpl w:val="63AADD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34BA"/>
    <w:rsid w:val="002F4979"/>
    <w:rsid w:val="004A42F7"/>
    <w:rsid w:val="00527F58"/>
    <w:rsid w:val="00595C17"/>
    <w:rsid w:val="006D4675"/>
    <w:rsid w:val="0072494D"/>
    <w:rsid w:val="00774D7D"/>
    <w:rsid w:val="0087239B"/>
    <w:rsid w:val="009E500E"/>
    <w:rsid w:val="00B91F83"/>
    <w:rsid w:val="00B934BA"/>
    <w:rsid w:val="00DF0190"/>
    <w:rsid w:val="00F05303"/>
    <w:rsid w:val="00FE1B1F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,"/>
  <w:listSeparator w:val=";"/>
  <w14:docId w14:val="7FC3014C"/>
  <w15:docId w15:val="{12483BC9-8000-4CB3-91A8-46FC7FC03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5303"/>
    <w:pPr>
      <w:ind w:left="720"/>
      <w:contextualSpacing/>
    </w:pPr>
  </w:style>
  <w:style w:type="table" w:styleId="Mriekatabuky">
    <w:name w:val="Table Grid"/>
    <w:basedOn w:val="Normlnatabuka"/>
    <w:uiPriority w:val="59"/>
    <w:rsid w:val="00F05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Mgr. Peter Žatko</cp:lastModifiedBy>
  <cp:revision>4</cp:revision>
  <dcterms:created xsi:type="dcterms:W3CDTF">2015-05-28T05:57:00Z</dcterms:created>
  <dcterms:modified xsi:type="dcterms:W3CDTF">2020-04-14T14:21:00Z</dcterms:modified>
</cp:coreProperties>
</file>